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C242" w14:textId="77777777" w:rsidR="00B0662C" w:rsidRDefault="00373F4D">
      <w:r>
        <w:rPr>
          <w:noProof/>
        </w:rPr>
        <w:drawing>
          <wp:inline distT="0" distB="0" distL="0" distR="0" wp14:anchorId="4973E599" wp14:editId="7E3C02D5">
            <wp:extent cx="2849837" cy="356231"/>
            <wp:effectExtent l="0" t="0" r="7663" b="5719"/>
            <wp:docPr id="2" name="Picture 1" descr="C:\Users\secretariatg\AppData\Local\Microsoft\Windows\INetCache\Content.Word\SOMETRA-LOGOTYPE-04.04.18-RGB-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849837" cy="356231"/>
                    </a:xfrm>
                    <a:prstGeom prst="rect">
                      <a:avLst/>
                    </a:prstGeom>
                    <a:noFill/>
                    <a:ln>
                      <a:noFill/>
                      <a:prstDash/>
                    </a:ln>
                  </pic:spPr>
                </pic:pic>
              </a:graphicData>
            </a:graphic>
          </wp:inline>
        </w:drawing>
      </w:r>
    </w:p>
    <w:p w14:paraId="13D847A1" w14:textId="77777777" w:rsidR="00B0662C" w:rsidRDefault="00B0662C"/>
    <w:p w14:paraId="6B40A34F" w14:textId="77777777" w:rsidR="00B0662C" w:rsidRDefault="00B0662C"/>
    <w:p w14:paraId="29C5F3E7" w14:textId="18818521" w:rsidR="00B0662C" w:rsidRDefault="00373F4D">
      <w:pPr>
        <w:jc w:val="center"/>
        <w:rPr>
          <w:rFonts w:ascii="Times New Roman" w:hAnsi="Times New Roman"/>
          <w:b/>
          <w:sz w:val="28"/>
          <w:szCs w:val="28"/>
        </w:rPr>
      </w:pPr>
      <w:r>
        <w:rPr>
          <w:rFonts w:ascii="Times New Roman" w:hAnsi="Times New Roman"/>
          <w:b/>
          <w:sz w:val="28"/>
          <w:szCs w:val="28"/>
        </w:rPr>
        <w:t>RAPORT ANUAL DE REMUNERARE A ADMINISTRATORILOR SI DIRECTORULUI GENERAL AI S.C. SOMETRA SA COPSA-MICA pe anul 202</w:t>
      </w:r>
      <w:r w:rsidR="00944029">
        <w:rPr>
          <w:rFonts w:ascii="Times New Roman" w:hAnsi="Times New Roman"/>
          <w:b/>
          <w:sz w:val="28"/>
          <w:szCs w:val="28"/>
        </w:rPr>
        <w:t>4</w:t>
      </w:r>
    </w:p>
    <w:p w14:paraId="2A2AB578" w14:textId="77777777" w:rsidR="00B0662C" w:rsidRDefault="00B0662C">
      <w:pPr>
        <w:jc w:val="both"/>
        <w:rPr>
          <w:rFonts w:ascii="Times New Roman" w:hAnsi="Times New Roman"/>
          <w:b/>
          <w:sz w:val="24"/>
          <w:szCs w:val="24"/>
        </w:rPr>
      </w:pPr>
    </w:p>
    <w:p w14:paraId="43807A2F" w14:textId="77777777" w:rsidR="00B0662C" w:rsidRDefault="00B0662C">
      <w:pPr>
        <w:jc w:val="both"/>
        <w:rPr>
          <w:rFonts w:ascii="Times New Roman" w:hAnsi="Times New Roman"/>
          <w:b/>
          <w:sz w:val="24"/>
          <w:szCs w:val="24"/>
        </w:rPr>
      </w:pPr>
    </w:p>
    <w:p w14:paraId="32DC42C1" w14:textId="549B40AE" w:rsidR="00B0662C" w:rsidRDefault="00373F4D">
      <w:pPr>
        <w:jc w:val="both"/>
        <w:rPr>
          <w:rFonts w:ascii="Times New Roman" w:hAnsi="Times New Roman"/>
          <w:sz w:val="24"/>
          <w:szCs w:val="24"/>
        </w:rPr>
      </w:pPr>
      <w:r>
        <w:rPr>
          <w:rFonts w:ascii="Times New Roman" w:hAnsi="Times New Roman"/>
          <w:sz w:val="24"/>
          <w:szCs w:val="24"/>
        </w:rPr>
        <w:t>Prezentul raport a fost întocmit in conformitate cu politica de remunerare a</w:t>
      </w:r>
      <w:r>
        <w:rPr>
          <w:rFonts w:ascii="Times New Roman" w:hAnsi="Times New Roman"/>
          <w:bCs/>
          <w:sz w:val="24"/>
          <w:szCs w:val="24"/>
        </w:rPr>
        <w:t xml:space="preserve"> S.C. Sometra SA</w:t>
      </w:r>
      <w:r>
        <w:rPr>
          <w:rFonts w:ascii="Times New Roman" w:hAnsi="Times New Roman"/>
          <w:sz w:val="24"/>
          <w:szCs w:val="24"/>
        </w:rPr>
        <w:t>, societate pe acțiuni, care funcționează in conformitate cu legile din Romania, cu sediul social in Loc. Copșa Mica, Oraș Copșa Mica, Str. Fabricilor nr. 1, Județ Sibiu, înregistrată la Registrul Comerțului sub nr. J32/124/1991, având Identificator Unic la Nivel European (EUID) ROONRC.J32/124/1991, cod unic de înregistrare 813526 („</w:t>
      </w:r>
      <w:r>
        <w:rPr>
          <w:rFonts w:ascii="Times New Roman" w:hAnsi="Times New Roman"/>
          <w:i/>
          <w:iCs/>
          <w:sz w:val="24"/>
          <w:szCs w:val="24"/>
        </w:rPr>
        <w:t>Societatea</w:t>
      </w:r>
      <w:r>
        <w:rPr>
          <w:rFonts w:ascii="Times New Roman" w:hAnsi="Times New Roman"/>
          <w:sz w:val="24"/>
          <w:szCs w:val="24"/>
        </w:rPr>
        <w:t>” sau „</w:t>
      </w:r>
      <w:r>
        <w:rPr>
          <w:rFonts w:ascii="Times New Roman" w:hAnsi="Times New Roman"/>
          <w:i/>
          <w:iCs/>
          <w:sz w:val="24"/>
          <w:szCs w:val="24"/>
        </w:rPr>
        <w:t>Sometra</w:t>
      </w:r>
      <w:r>
        <w:rPr>
          <w:rFonts w:ascii="Times New Roman" w:hAnsi="Times New Roman"/>
          <w:sz w:val="24"/>
          <w:szCs w:val="24"/>
        </w:rPr>
        <w:t xml:space="preserve">”) aprobata de Consiliul de Administrație al Societăţii si de Adunarea generala ordinara anuala a acționarilor Societăţii din </w:t>
      </w:r>
      <w:r w:rsidR="002328D2">
        <w:rPr>
          <w:rFonts w:ascii="Times New Roman" w:hAnsi="Times New Roman"/>
          <w:sz w:val="24"/>
          <w:szCs w:val="24"/>
        </w:rPr>
        <w:t>02</w:t>
      </w:r>
      <w:r>
        <w:rPr>
          <w:rFonts w:ascii="Times New Roman" w:hAnsi="Times New Roman"/>
          <w:sz w:val="24"/>
          <w:szCs w:val="24"/>
        </w:rPr>
        <w:t>.04.202</w:t>
      </w:r>
      <w:r w:rsidR="002328D2">
        <w:rPr>
          <w:rFonts w:ascii="Times New Roman" w:hAnsi="Times New Roman"/>
          <w:sz w:val="24"/>
          <w:szCs w:val="24"/>
        </w:rPr>
        <w:t>4</w:t>
      </w:r>
      <w:r>
        <w:rPr>
          <w:rFonts w:ascii="Times New Roman" w:hAnsi="Times New Roman"/>
          <w:sz w:val="24"/>
          <w:szCs w:val="24"/>
        </w:rPr>
        <w:t>, in conformitate cu art. 92</w:t>
      </w:r>
      <w:r>
        <w:rPr>
          <w:rFonts w:ascii="Times New Roman" w:hAnsi="Times New Roman"/>
          <w:sz w:val="24"/>
          <w:szCs w:val="24"/>
          <w:vertAlign w:val="superscript"/>
        </w:rPr>
        <w:t>1</w:t>
      </w:r>
      <w:r>
        <w:rPr>
          <w:rFonts w:ascii="Times New Roman" w:hAnsi="Times New Roman"/>
          <w:sz w:val="24"/>
          <w:szCs w:val="24"/>
        </w:rPr>
        <w:t xml:space="preserve"> din Legea nr. 24/2017 privind emitenții de instrumente financiare si operațiuni de piața, cu modificările si completările ulterioare („</w:t>
      </w:r>
      <w:r>
        <w:rPr>
          <w:rFonts w:ascii="Times New Roman" w:hAnsi="Times New Roman"/>
          <w:i/>
          <w:iCs/>
          <w:sz w:val="24"/>
          <w:szCs w:val="24"/>
        </w:rPr>
        <w:t>Legea Emitenților</w:t>
      </w:r>
      <w:r>
        <w:rPr>
          <w:rFonts w:ascii="Times New Roman" w:hAnsi="Times New Roman"/>
          <w:sz w:val="24"/>
          <w:szCs w:val="24"/>
        </w:rPr>
        <w:t>”).</w:t>
      </w:r>
    </w:p>
    <w:p w14:paraId="46F9AC3F" w14:textId="77777777" w:rsidR="00B0662C" w:rsidRDefault="00373F4D">
      <w:pPr>
        <w:jc w:val="both"/>
        <w:rPr>
          <w:rFonts w:ascii="Times New Roman" w:hAnsi="Times New Roman"/>
          <w:sz w:val="24"/>
          <w:szCs w:val="24"/>
        </w:rPr>
      </w:pPr>
      <w:r>
        <w:rPr>
          <w:rFonts w:ascii="Times New Roman" w:hAnsi="Times New Roman"/>
          <w:sz w:val="24"/>
          <w:szCs w:val="24"/>
        </w:rPr>
        <w:t>Administratorii Neexecutivi ai Societăţii nu primesc vreo remunerație fixa sau variabila pentru aceste funcții sau, după caz, pentru orice alte funcții specifice in cadrul Consiliului de Administrație.</w:t>
      </w:r>
    </w:p>
    <w:p w14:paraId="7351C753" w14:textId="77777777" w:rsidR="00B0662C" w:rsidRDefault="00373F4D">
      <w:pPr>
        <w:jc w:val="both"/>
        <w:rPr>
          <w:rFonts w:ascii="Times New Roman" w:hAnsi="Times New Roman"/>
          <w:sz w:val="24"/>
          <w:szCs w:val="24"/>
        </w:rPr>
      </w:pPr>
      <w:r>
        <w:rPr>
          <w:rFonts w:ascii="Times New Roman" w:hAnsi="Times New Roman"/>
          <w:sz w:val="24"/>
          <w:szCs w:val="24"/>
        </w:rPr>
        <w:t>Administratorii Neexecutivi nu au alte beneficii, cu excepția decontării cheltuielilor legate de executarea mandatului, precum, dar fără a se limita la: cheltuieli de transport, in interiorul si in afara României, diurna, cheltuieli de cazare, pe baza documentelor justificative si cu respectarea prevederilor legale aplicabile.</w:t>
      </w:r>
    </w:p>
    <w:p w14:paraId="23589E36" w14:textId="77777777" w:rsidR="00B0662C" w:rsidRDefault="00373F4D">
      <w:pPr>
        <w:jc w:val="both"/>
        <w:rPr>
          <w:rFonts w:ascii="Times New Roman" w:hAnsi="Times New Roman"/>
          <w:sz w:val="24"/>
          <w:szCs w:val="24"/>
        </w:rPr>
      </w:pPr>
      <w:r>
        <w:rPr>
          <w:rFonts w:ascii="Times New Roman" w:hAnsi="Times New Roman"/>
          <w:sz w:val="24"/>
          <w:szCs w:val="24"/>
        </w:rPr>
        <w:t>Administratorii Neexecutivi nu beneficiază de contribuții la sistemul public de pensii din Romania, nici la pilonul II al sistemului de pensii din Romania (i.e. fondurile de pensii administrate privat) si nici la sistemele facultative de pensii.</w:t>
      </w:r>
    </w:p>
    <w:p w14:paraId="19BA3631" w14:textId="77777777" w:rsidR="00B0662C" w:rsidRDefault="00373F4D">
      <w:pPr>
        <w:jc w:val="both"/>
        <w:rPr>
          <w:rFonts w:ascii="Times New Roman" w:hAnsi="Times New Roman"/>
          <w:sz w:val="24"/>
          <w:szCs w:val="24"/>
        </w:rPr>
      </w:pPr>
      <w:r>
        <w:rPr>
          <w:rFonts w:ascii="Times New Roman" w:hAnsi="Times New Roman"/>
          <w:sz w:val="24"/>
          <w:szCs w:val="24"/>
        </w:rPr>
        <w:t>Societatea nu a încheiat contracte de asigurare de răspundere profesionala pentru Administratorii Neexecutivi ai Societăţii.</w:t>
      </w:r>
    </w:p>
    <w:p w14:paraId="17BDAE99" w14:textId="77777777" w:rsidR="00B0662C" w:rsidRDefault="00373F4D">
      <w:pPr>
        <w:jc w:val="both"/>
        <w:rPr>
          <w:rFonts w:ascii="Times New Roman" w:hAnsi="Times New Roman"/>
          <w:sz w:val="24"/>
          <w:szCs w:val="24"/>
        </w:rPr>
      </w:pPr>
      <w:r>
        <w:rPr>
          <w:rFonts w:ascii="Times New Roman" w:hAnsi="Times New Roman"/>
          <w:sz w:val="24"/>
          <w:szCs w:val="24"/>
        </w:rPr>
        <w:t>Directorul General al Societăţii, este administrator executiv al Societăţii, si are calitatea de director in conformitate cu prevederile art. 143 din Legea Societăților.</w:t>
      </w:r>
    </w:p>
    <w:p w14:paraId="62DFF148" w14:textId="7757AFC3" w:rsidR="00B0662C" w:rsidRDefault="00373F4D">
      <w:pPr>
        <w:jc w:val="both"/>
        <w:rPr>
          <w:rFonts w:ascii="Times New Roman" w:hAnsi="Times New Roman"/>
          <w:sz w:val="24"/>
          <w:szCs w:val="24"/>
        </w:rPr>
      </w:pPr>
      <w:r>
        <w:rPr>
          <w:rFonts w:ascii="Times New Roman" w:hAnsi="Times New Roman"/>
          <w:sz w:val="24"/>
          <w:szCs w:val="24"/>
        </w:rPr>
        <w:lastRenderedPageBreak/>
        <w:t xml:space="preserve">Directorul are dreptul la o remunerație lunara fixa aferenta activității in cadrul Societăţii, aprobata de Consiliul de Administrație al Societăţii. Remunerația fixa lunara neta este de </w:t>
      </w:r>
      <w:r w:rsidR="002328D2">
        <w:rPr>
          <w:rFonts w:ascii="Times New Roman" w:hAnsi="Times New Roman"/>
          <w:sz w:val="24"/>
          <w:szCs w:val="24"/>
        </w:rPr>
        <w:t>7</w:t>
      </w:r>
      <w:r>
        <w:rPr>
          <w:rFonts w:ascii="Times New Roman" w:hAnsi="Times New Roman"/>
          <w:sz w:val="24"/>
          <w:szCs w:val="24"/>
        </w:rPr>
        <w:t>.</w:t>
      </w:r>
      <w:r w:rsidR="002328D2">
        <w:rPr>
          <w:rFonts w:ascii="Times New Roman" w:hAnsi="Times New Roman"/>
          <w:sz w:val="24"/>
          <w:szCs w:val="24"/>
        </w:rPr>
        <w:t>5</w:t>
      </w:r>
      <w:r>
        <w:rPr>
          <w:rFonts w:ascii="Times New Roman" w:hAnsi="Times New Roman"/>
          <w:sz w:val="24"/>
          <w:szCs w:val="24"/>
        </w:rPr>
        <w:t>00 Euro.</w:t>
      </w:r>
    </w:p>
    <w:p w14:paraId="44383EDB" w14:textId="77777777" w:rsidR="00B0662C" w:rsidRDefault="00373F4D">
      <w:pPr>
        <w:jc w:val="both"/>
        <w:rPr>
          <w:rFonts w:ascii="Times New Roman" w:hAnsi="Times New Roman"/>
          <w:sz w:val="24"/>
          <w:szCs w:val="24"/>
        </w:rPr>
      </w:pPr>
      <w:r>
        <w:rPr>
          <w:rFonts w:ascii="Times New Roman" w:hAnsi="Times New Roman"/>
          <w:sz w:val="24"/>
          <w:szCs w:val="24"/>
        </w:rPr>
        <w:t>Directorul General nu beneficiază de remunerație variabila.</w:t>
      </w:r>
    </w:p>
    <w:p w14:paraId="3CD04062" w14:textId="77777777" w:rsidR="00B0662C" w:rsidRDefault="00373F4D">
      <w:pPr>
        <w:jc w:val="both"/>
        <w:rPr>
          <w:rFonts w:ascii="Times New Roman" w:hAnsi="Times New Roman"/>
          <w:sz w:val="24"/>
          <w:szCs w:val="24"/>
        </w:rPr>
      </w:pPr>
      <w:r>
        <w:rPr>
          <w:rFonts w:ascii="Times New Roman" w:hAnsi="Times New Roman"/>
          <w:sz w:val="24"/>
          <w:szCs w:val="24"/>
        </w:rPr>
        <w:t xml:space="preserve">Directorul General are următoarele beneficii: </w:t>
      </w:r>
    </w:p>
    <w:p w14:paraId="1C42CDDD" w14:textId="783AFDEB" w:rsidR="00B0662C" w:rsidRDefault="00373F4D">
      <w:pPr>
        <w:numPr>
          <w:ilvl w:val="0"/>
          <w:numId w:val="3"/>
        </w:numPr>
        <w:suppressAutoHyphens w:val="0"/>
        <w:autoSpaceDN/>
        <w:spacing w:line="259" w:lineRule="auto"/>
        <w:jc w:val="both"/>
        <w:textAlignment w:val="auto"/>
        <w:rPr>
          <w:rFonts w:ascii="Times New Roman" w:hAnsi="Times New Roman"/>
          <w:sz w:val="24"/>
          <w:szCs w:val="24"/>
        </w:rPr>
      </w:pPr>
      <w:r>
        <w:rPr>
          <w:rFonts w:ascii="Times New Roman" w:hAnsi="Times New Roman"/>
          <w:sz w:val="24"/>
          <w:szCs w:val="24"/>
        </w:rPr>
        <w:t>un supliment lunar pentru locuință, in valoare de 800 Euro;</w:t>
      </w:r>
    </w:p>
    <w:p w14:paraId="49E05E18" w14:textId="6BB10DCE" w:rsidR="00B0662C" w:rsidRDefault="00373F4D">
      <w:pPr>
        <w:numPr>
          <w:ilvl w:val="0"/>
          <w:numId w:val="3"/>
        </w:numPr>
        <w:suppressAutoHyphens w:val="0"/>
        <w:autoSpaceDN/>
        <w:spacing w:line="259" w:lineRule="auto"/>
        <w:jc w:val="both"/>
        <w:textAlignment w:val="auto"/>
        <w:rPr>
          <w:rFonts w:ascii="Times New Roman" w:hAnsi="Times New Roman"/>
          <w:sz w:val="24"/>
          <w:szCs w:val="24"/>
        </w:rPr>
      </w:pPr>
      <w:r>
        <w:rPr>
          <w:rFonts w:ascii="Times New Roman" w:hAnsi="Times New Roman"/>
          <w:sz w:val="24"/>
          <w:szCs w:val="24"/>
        </w:rPr>
        <w:t xml:space="preserve">utilizarea a </w:t>
      </w:r>
      <w:r w:rsidR="002328D2">
        <w:rPr>
          <w:rFonts w:ascii="Times New Roman" w:hAnsi="Times New Roman"/>
          <w:sz w:val="24"/>
          <w:szCs w:val="24"/>
        </w:rPr>
        <w:t>6</w:t>
      </w:r>
      <w:r>
        <w:rPr>
          <w:rFonts w:ascii="Times New Roman" w:hAnsi="Times New Roman"/>
          <w:sz w:val="24"/>
          <w:szCs w:val="24"/>
        </w:rPr>
        <w:t xml:space="preserve"> (</w:t>
      </w:r>
      <w:r w:rsidR="002328D2">
        <w:rPr>
          <w:rFonts w:ascii="Times New Roman" w:hAnsi="Times New Roman"/>
          <w:sz w:val="24"/>
          <w:szCs w:val="24"/>
        </w:rPr>
        <w:t>sase</w:t>
      </w:r>
      <w:r>
        <w:rPr>
          <w:rFonts w:ascii="Times New Roman" w:hAnsi="Times New Roman"/>
          <w:sz w:val="24"/>
          <w:szCs w:val="24"/>
        </w:rPr>
        <w:t>) bilete dus-întors in Grecia pe an, la clasa economica; si</w:t>
      </w:r>
    </w:p>
    <w:p w14:paraId="3F868B25" w14:textId="77777777" w:rsidR="00B0662C" w:rsidRDefault="00373F4D">
      <w:pPr>
        <w:numPr>
          <w:ilvl w:val="0"/>
          <w:numId w:val="3"/>
        </w:numPr>
        <w:suppressAutoHyphens w:val="0"/>
        <w:autoSpaceDN/>
        <w:spacing w:line="259" w:lineRule="auto"/>
        <w:jc w:val="both"/>
        <w:textAlignment w:val="auto"/>
        <w:rPr>
          <w:rFonts w:ascii="Times New Roman" w:hAnsi="Times New Roman"/>
          <w:sz w:val="24"/>
          <w:szCs w:val="24"/>
        </w:rPr>
      </w:pPr>
      <w:r>
        <w:rPr>
          <w:rFonts w:ascii="Times New Roman" w:hAnsi="Times New Roman"/>
          <w:sz w:val="24"/>
          <w:szCs w:val="24"/>
        </w:rPr>
        <w:t>decontarea cheltuielilor legate de executarea mandatului, precum, dar fără a se limita la: cheltuieli de transport, in interiorul si in afara României, diurna, cheltuieli de cazare, pe baza documentelor justificative si cu respectarea prevederilor legale aplicabile.</w:t>
      </w:r>
    </w:p>
    <w:p w14:paraId="2794EEC6" w14:textId="77777777" w:rsidR="00B0662C" w:rsidRDefault="00373F4D">
      <w:pPr>
        <w:jc w:val="both"/>
        <w:rPr>
          <w:rFonts w:ascii="Times New Roman" w:hAnsi="Times New Roman"/>
          <w:sz w:val="24"/>
          <w:szCs w:val="24"/>
        </w:rPr>
      </w:pPr>
      <w:r>
        <w:rPr>
          <w:rFonts w:ascii="Times New Roman" w:hAnsi="Times New Roman"/>
          <w:sz w:val="24"/>
          <w:szCs w:val="24"/>
        </w:rPr>
        <w:t>Pentru îndeplinirea atribuțiilor care ii revin, Directorul General are dreptul sa utilizeze un telefon mobil, un laptop si un autoturism de serviciu, plus 250 l de combustibil pe luna.</w:t>
      </w:r>
    </w:p>
    <w:p w14:paraId="1798DDBA" w14:textId="77777777" w:rsidR="00B0662C" w:rsidRDefault="00373F4D">
      <w:pPr>
        <w:jc w:val="both"/>
        <w:rPr>
          <w:rFonts w:ascii="Times New Roman" w:hAnsi="Times New Roman"/>
          <w:sz w:val="24"/>
          <w:szCs w:val="24"/>
        </w:rPr>
      </w:pPr>
      <w:r>
        <w:rPr>
          <w:rFonts w:ascii="Times New Roman" w:hAnsi="Times New Roman"/>
          <w:sz w:val="24"/>
          <w:szCs w:val="24"/>
        </w:rPr>
        <w:t>Cu excepția participării la sistemul public de pensii si, implicit, la pilonul II al sistemului de pensii din Romania (i.e. fondurile de pensii administrate privat), Directorul nu beneficiază de contribuții la sistemele facultative de pensii.</w:t>
      </w:r>
    </w:p>
    <w:p w14:paraId="5E7EDA19" w14:textId="77777777" w:rsidR="00B0662C" w:rsidRDefault="00373F4D">
      <w:pPr>
        <w:jc w:val="both"/>
        <w:rPr>
          <w:rFonts w:ascii="Times New Roman" w:hAnsi="Times New Roman"/>
          <w:sz w:val="24"/>
          <w:szCs w:val="24"/>
        </w:rPr>
      </w:pPr>
      <w:r>
        <w:rPr>
          <w:rFonts w:ascii="Times New Roman" w:hAnsi="Times New Roman"/>
          <w:sz w:val="24"/>
          <w:szCs w:val="24"/>
        </w:rPr>
        <w:t>Societatea nu a încheiat un contract de asigurare de răspundere profesionala pentru Directorul General al Societăţii.</w:t>
      </w:r>
    </w:p>
    <w:p w14:paraId="4381CD65" w14:textId="2852349C" w:rsidR="00B0662C" w:rsidRDefault="00373F4D">
      <w:pPr>
        <w:jc w:val="both"/>
        <w:rPr>
          <w:rFonts w:ascii="Times New Roman" w:hAnsi="Times New Roman"/>
          <w:sz w:val="24"/>
          <w:szCs w:val="24"/>
        </w:rPr>
      </w:pPr>
      <w:r>
        <w:rPr>
          <w:rFonts w:ascii="Times New Roman" w:hAnsi="Times New Roman"/>
          <w:sz w:val="24"/>
          <w:szCs w:val="24"/>
        </w:rPr>
        <w:t>Astfel pentru anul 202</w:t>
      </w:r>
      <w:r w:rsidR="00944029">
        <w:rPr>
          <w:rFonts w:ascii="Times New Roman" w:hAnsi="Times New Roman"/>
          <w:sz w:val="24"/>
          <w:szCs w:val="24"/>
        </w:rPr>
        <w:t>4</w:t>
      </w:r>
      <w:r>
        <w:rPr>
          <w:rFonts w:ascii="Times New Roman" w:hAnsi="Times New Roman"/>
          <w:sz w:val="24"/>
          <w:szCs w:val="24"/>
        </w:rPr>
        <w:t>, remunerațiile acordate Administratorilor neexecutivi si Administratorului executiv/Director General, sunt prezentate in tabelul anexat.</w:t>
      </w:r>
    </w:p>
    <w:p w14:paraId="65B16D23" w14:textId="77777777" w:rsidR="00B0662C" w:rsidRDefault="00B0662C">
      <w:pPr>
        <w:jc w:val="center"/>
        <w:rPr>
          <w:rFonts w:ascii="Times New Roman" w:hAnsi="Times New Roman"/>
          <w:sz w:val="24"/>
          <w:szCs w:val="24"/>
        </w:rPr>
      </w:pPr>
    </w:p>
    <w:p w14:paraId="62B4C290" w14:textId="77777777" w:rsidR="00B0662C" w:rsidRDefault="00B0662C">
      <w:pPr>
        <w:jc w:val="center"/>
        <w:rPr>
          <w:rFonts w:ascii="Times New Roman" w:hAnsi="Times New Roman"/>
          <w:sz w:val="24"/>
          <w:szCs w:val="24"/>
        </w:rPr>
      </w:pPr>
    </w:p>
    <w:p w14:paraId="4B98E8E7" w14:textId="77777777" w:rsidR="00B0662C" w:rsidRDefault="00373F4D">
      <w:pPr>
        <w:jc w:val="center"/>
        <w:rPr>
          <w:rFonts w:ascii="Times New Roman" w:hAnsi="Times New Roman"/>
          <w:b/>
          <w:sz w:val="24"/>
          <w:szCs w:val="24"/>
        </w:rPr>
      </w:pPr>
      <w:r>
        <w:rPr>
          <w:rFonts w:ascii="Times New Roman" w:hAnsi="Times New Roman"/>
          <w:b/>
          <w:sz w:val="24"/>
          <w:szCs w:val="24"/>
        </w:rPr>
        <w:t>PRESEDINTE CONSILIU DE ADMINISTRATIE</w:t>
      </w:r>
    </w:p>
    <w:p w14:paraId="442BB08C" w14:textId="77777777" w:rsidR="00B0662C" w:rsidRDefault="00373F4D">
      <w:pPr>
        <w:jc w:val="center"/>
        <w:rPr>
          <w:rFonts w:ascii="Times New Roman" w:hAnsi="Times New Roman"/>
          <w:b/>
          <w:sz w:val="24"/>
          <w:szCs w:val="24"/>
        </w:rPr>
      </w:pPr>
      <w:r>
        <w:rPr>
          <w:rFonts w:ascii="Times New Roman" w:hAnsi="Times New Roman"/>
          <w:b/>
          <w:sz w:val="24"/>
          <w:szCs w:val="24"/>
        </w:rPr>
        <w:t>Christos Efstathiadis</w:t>
      </w:r>
      <w:r>
        <w:rPr>
          <w:rFonts w:ascii="Times New Roman" w:hAnsi="Times New Roman"/>
          <w:b/>
          <w:sz w:val="24"/>
          <w:szCs w:val="24"/>
        </w:rPr>
        <w:tab/>
      </w:r>
    </w:p>
    <w:p w14:paraId="5B20C166" w14:textId="77777777" w:rsidR="00B0662C" w:rsidRDefault="00B0662C">
      <w:pPr>
        <w:jc w:val="both"/>
        <w:rPr>
          <w:sz w:val="24"/>
          <w:szCs w:val="24"/>
        </w:rPr>
      </w:pPr>
    </w:p>
    <w:p w14:paraId="12A85E65" w14:textId="77777777" w:rsidR="00B0662C" w:rsidRDefault="00B0662C">
      <w:pPr>
        <w:jc w:val="both"/>
        <w:rPr>
          <w:sz w:val="24"/>
          <w:szCs w:val="24"/>
        </w:rPr>
      </w:pPr>
    </w:p>
    <w:p w14:paraId="6039F13A" w14:textId="77777777" w:rsidR="00B0662C" w:rsidRDefault="00B0662C">
      <w:pPr>
        <w:jc w:val="both"/>
        <w:rPr>
          <w:sz w:val="24"/>
          <w:szCs w:val="24"/>
        </w:rPr>
      </w:pPr>
    </w:p>
    <w:p w14:paraId="29E8222D" w14:textId="77777777" w:rsidR="00B0662C" w:rsidRDefault="00B0662C"/>
    <w:sectPr w:rsidR="00B0662C">
      <w:headerReference w:type="default" r:id="rId8"/>
      <w:footerReference w:type="default" r:id="rId9"/>
      <w:pgSz w:w="12240" w:h="15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4455" w14:textId="77777777" w:rsidR="00BB3694" w:rsidRDefault="00BB3694">
      <w:pPr>
        <w:spacing w:after="0" w:line="240" w:lineRule="auto"/>
      </w:pPr>
      <w:r>
        <w:separator/>
      </w:r>
    </w:p>
  </w:endnote>
  <w:endnote w:type="continuationSeparator" w:id="0">
    <w:p w14:paraId="0F561F47" w14:textId="77777777" w:rsidR="00BB3694" w:rsidRDefault="00BB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10" w:type="dxa"/>
        <w:right w:w="10" w:type="dxa"/>
      </w:tblCellMar>
      <w:tblLook w:val="0000" w:firstRow="0" w:lastRow="0" w:firstColumn="0" w:lastColumn="0" w:noHBand="0" w:noVBand="0"/>
    </w:tblPr>
    <w:tblGrid>
      <w:gridCol w:w="9171"/>
      <w:gridCol w:w="235"/>
    </w:tblGrid>
    <w:tr w:rsidR="00B0662C" w14:paraId="39562700" w14:textId="77777777">
      <w:trPr>
        <w:jc w:val="center"/>
      </w:trPr>
      <w:tc>
        <w:tcPr>
          <w:tcW w:w="9171" w:type="dxa"/>
          <w:shd w:val="clear" w:color="auto" w:fill="auto"/>
          <w:tcMar>
            <w:top w:w="144" w:type="dxa"/>
            <w:left w:w="115" w:type="dxa"/>
            <w:bottom w:w="144" w:type="dxa"/>
            <w:right w:w="115" w:type="dxa"/>
          </w:tcMar>
        </w:tcPr>
        <w:p w14:paraId="4550B289" w14:textId="77777777" w:rsidR="00B0662C" w:rsidRDefault="00373F4D">
          <w:r>
            <w:rPr>
              <w:noProof/>
            </w:rPr>
            <w:drawing>
              <wp:inline distT="0" distB="0" distL="0" distR="0" wp14:anchorId="4DD285E1" wp14:editId="2066F251">
                <wp:extent cx="6412796" cy="218441"/>
                <wp:effectExtent l="0" t="0" r="7054" b="0"/>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12796" cy="218441"/>
                        </a:xfrm>
                        <a:prstGeom prst="rect">
                          <a:avLst/>
                        </a:prstGeom>
                        <a:noFill/>
                        <a:ln>
                          <a:noFill/>
                          <a:prstDash/>
                        </a:ln>
                      </pic:spPr>
                    </pic:pic>
                  </a:graphicData>
                </a:graphic>
              </wp:inline>
            </w:drawing>
          </w:r>
        </w:p>
      </w:tc>
      <w:tc>
        <w:tcPr>
          <w:tcW w:w="235" w:type="dxa"/>
          <w:shd w:val="clear" w:color="auto" w:fill="auto"/>
          <w:tcMar>
            <w:top w:w="144" w:type="dxa"/>
            <w:left w:w="115" w:type="dxa"/>
            <w:bottom w:w="144" w:type="dxa"/>
            <w:right w:w="115" w:type="dxa"/>
          </w:tcMar>
        </w:tcPr>
        <w:p w14:paraId="43DE119A" w14:textId="77777777" w:rsidR="00B0662C" w:rsidRDefault="00B0662C"/>
      </w:tc>
    </w:tr>
  </w:tbl>
  <w:p w14:paraId="3922ED9D" w14:textId="77777777" w:rsidR="00B0662C" w:rsidRDefault="00373F4D">
    <w:pPr>
      <w:pStyle w:val="Footer"/>
      <w:jc w:val="both"/>
    </w:pPr>
    <w:r>
      <w:rPr>
        <w:b/>
        <w:sz w:val="20"/>
        <w:szCs w:val="20"/>
      </w:rPr>
      <w:t xml:space="preserve">   E: </w:t>
    </w:r>
    <w:hyperlink r:id="rId2" w:history="1">
      <w:r>
        <w:rPr>
          <w:rStyle w:val="Hyperlink"/>
          <w:sz w:val="20"/>
          <w:szCs w:val="20"/>
        </w:rPr>
        <w:t>info@sometra.ro</w:t>
      </w:r>
    </w:hyperlink>
    <w:r>
      <w:rPr>
        <w:sz w:val="20"/>
        <w:szCs w:val="20"/>
      </w:rPr>
      <w:tab/>
    </w:r>
    <w:r>
      <w:rPr>
        <w:b/>
        <w:sz w:val="20"/>
        <w:szCs w:val="20"/>
      </w:rPr>
      <w:t xml:space="preserve">A: </w:t>
    </w:r>
    <w:r>
      <w:rPr>
        <w:sz w:val="20"/>
        <w:szCs w:val="20"/>
      </w:rPr>
      <w:t>Copsa Mica, str. Fabricilor nr. 1</w:t>
    </w:r>
  </w:p>
  <w:p w14:paraId="0C0265DF" w14:textId="77777777" w:rsidR="00B0662C" w:rsidRDefault="00373F4D">
    <w:pPr>
      <w:pStyle w:val="Footer"/>
      <w:jc w:val="both"/>
    </w:pPr>
    <w:r>
      <w:rPr>
        <w:b/>
        <w:sz w:val="20"/>
        <w:szCs w:val="20"/>
      </w:rPr>
      <w:t xml:space="preserve">   T: </w:t>
    </w:r>
    <w:r>
      <w:rPr>
        <w:sz w:val="20"/>
        <w:szCs w:val="20"/>
      </w:rPr>
      <w:t>+40 269 840320</w:t>
    </w:r>
    <w:r>
      <w:rPr>
        <w:sz w:val="20"/>
        <w:szCs w:val="20"/>
      </w:rPr>
      <w:tab/>
      <w:t>cod 555400, jud. Sibiu, Romania</w:t>
    </w:r>
    <w:r>
      <w:rPr>
        <w:sz w:val="20"/>
        <w:szCs w:val="20"/>
      </w:rPr>
      <w:tab/>
    </w:r>
    <w:hyperlink r:id="rId3" w:history="1">
      <w:r>
        <w:rPr>
          <w:rStyle w:val="Hyperlink"/>
          <w:sz w:val="20"/>
          <w:szCs w:val="20"/>
        </w:rPr>
        <w:t>www.sometra.ro</w:t>
      </w:r>
    </w:hyperlink>
  </w:p>
  <w:p w14:paraId="530ADA93" w14:textId="77777777" w:rsidR="00B0662C" w:rsidRDefault="00373F4D">
    <w:pPr>
      <w:pStyle w:val="Footer"/>
      <w:jc w:val="both"/>
    </w:pPr>
    <w:r>
      <w:rPr>
        <w:b/>
        <w:sz w:val="20"/>
        <w:szCs w:val="20"/>
      </w:rPr>
      <w:t xml:space="preserve">   F: </w:t>
    </w:r>
    <w:r>
      <w:rPr>
        <w:sz w:val="20"/>
        <w:szCs w:val="20"/>
      </w:rPr>
      <w:t>+40 269 840325, 6</w:t>
    </w:r>
    <w:r>
      <w:rPr>
        <w:sz w:val="20"/>
        <w:szCs w:val="20"/>
      </w:rPr>
      <w:tab/>
    </w:r>
  </w:p>
  <w:p w14:paraId="62702CF1" w14:textId="77777777" w:rsidR="00B0662C" w:rsidRDefault="00B0662C">
    <w:pPr>
      <w:pStyle w:val="Footer"/>
    </w:pPr>
  </w:p>
  <w:p w14:paraId="0478F6D7" w14:textId="77777777" w:rsidR="00B0662C" w:rsidRDefault="00B0662C">
    <w:pPr>
      <w:pStyle w:val="Footer"/>
      <w:jc w:val="both"/>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F10E" w14:textId="77777777" w:rsidR="00BB3694" w:rsidRDefault="00BB3694">
      <w:pPr>
        <w:spacing w:after="0" w:line="240" w:lineRule="auto"/>
      </w:pPr>
      <w:r>
        <w:rPr>
          <w:color w:val="000000"/>
        </w:rPr>
        <w:separator/>
      </w:r>
    </w:p>
  </w:footnote>
  <w:footnote w:type="continuationSeparator" w:id="0">
    <w:p w14:paraId="3A05354B" w14:textId="77777777" w:rsidR="00BB3694" w:rsidRDefault="00BB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746B" w14:textId="77777777" w:rsidR="00B0662C" w:rsidRDefault="00B06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A60ACF"/>
    <w:multiLevelType w:val="hybridMultilevel"/>
    <w:tmpl w:val="B1A0D0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C9950DB"/>
    <w:multiLevelType w:val="hybridMultilevel"/>
    <w:tmpl w:val="36222C1E"/>
    <w:lvl w:ilvl="0" w:tplc="5CE095E0">
      <w:start w:val="12"/>
      <w:numFmt w:val="bullet"/>
      <w:lvlText w:val="-"/>
      <w:lvlJc w:val="left"/>
      <w:pPr>
        <w:ind w:left="720" w:hanging="360"/>
      </w:pPr>
      <w:rPr>
        <w:rFonts w:ascii="Georgia" w:eastAsia="Times New Roman" w:hAnsi="Georgia" w:cs="Times New Roman" w:hint="default"/>
      </w:rPr>
    </w:lvl>
    <w:lvl w:ilvl="1" w:tplc="04090003" w:tentative="1">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12419">
    <w:abstractNumId w:val="2"/>
  </w:num>
  <w:num w:numId="2" w16cid:durableId="576786951">
    <w:abstractNumId w:val="0"/>
  </w:num>
  <w:num w:numId="3" w16cid:durableId="152451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2C"/>
    <w:rsid w:val="00046E5F"/>
    <w:rsid w:val="002328D2"/>
    <w:rsid w:val="00373F4D"/>
    <w:rsid w:val="004839FA"/>
    <w:rsid w:val="00944029"/>
    <w:rsid w:val="009F35FD"/>
    <w:rsid w:val="00B0662C"/>
    <w:rsid w:val="00B1396C"/>
    <w:rsid w:val="00BB3694"/>
    <w:rsid w:val="00D7775A"/>
    <w:rsid w:val="00F0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6055"/>
  <w15:docId w15:val="{7198DAF5-E78D-4A2F-A6B3-D09B557F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2">
    <w:name w:val="heading 2"/>
    <w:basedOn w:val="Normal"/>
    <w:next w:val="Normal"/>
    <w:link w:val="Heading2Char"/>
    <w:qFormat/>
    <w:pPr>
      <w:keepNext/>
      <w:numPr>
        <w:ilvl w:val="1"/>
        <w:numId w:val="1"/>
      </w:numPr>
      <w:autoSpaceDN/>
      <w:spacing w:after="0" w:line="240" w:lineRule="auto"/>
      <w:jc w:val="both"/>
      <w:textAlignment w:val="auto"/>
      <w:outlineLvl w:val="1"/>
    </w:pPr>
    <w:rPr>
      <w:rFonts w:ascii="Times New Roman" w:eastAsia="Times New Roman" w:hAnsi="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703"/>
        <w:tab w:val="right" w:pos="940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table" w:styleId="TableGrid">
    <w:name w:val="Table Grid"/>
    <w:basedOn w:val="TableNormal"/>
    <w:uiPriority w:val="3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Pr>
      <w:rFonts w:ascii="Times New Roman" w:eastAsia="Times New Roman" w:hAnsi="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7827">
      <w:bodyDiv w:val="1"/>
      <w:marLeft w:val="0"/>
      <w:marRight w:val="0"/>
      <w:marTop w:val="0"/>
      <w:marBottom w:val="0"/>
      <w:divBdr>
        <w:top w:val="none" w:sz="0" w:space="0" w:color="auto"/>
        <w:left w:val="none" w:sz="0" w:space="0" w:color="auto"/>
        <w:bottom w:val="none" w:sz="0" w:space="0" w:color="auto"/>
        <w:right w:val="none" w:sz="0" w:space="0" w:color="auto"/>
      </w:divBdr>
    </w:div>
    <w:div w:id="785588072">
      <w:bodyDiv w:val="1"/>
      <w:marLeft w:val="0"/>
      <w:marRight w:val="0"/>
      <w:marTop w:val="0"/>
      <w:marBottom w:val="0"/>
      <w:divBdr>
        <w:top w:val="none" w:sz="0" w:space="0" w:color="auto"/>
        <w:left w:val="none" w:sz="0" w:space="0" w:color="auto"/>
        <w:bottom w:val="none" w:sz="0" w:space="0" w:color="auto"/>
        <w:right w:val="none" w:sz="0" w:space="0" w:color="auto"/>
      </w:divBdr>
    </w:div>
    <w:div w:id="1217664921">
      <w:bodyDiv w:val="1"/>
      <w:marLeft w:val="0"/>
      <w:marRight w:val="0"/>
      <w:marTop w:val="0"/>
      <w:marBottom w:val="0"/>
      <w:divBdr>
        <w:top w:val="none" w:sz="0" w:space="0" w:color="auto"/>
        <w:left w:val="none" w:sz="0" w:space="0" w:color="auto"/>
        <w:bottom w:val="none" w:sz="0" w:space="0" w:color="auto"/>
        <w:right w:val="none" w:sz="0" w:space="0" w:color="auto"/>
      </w:divBdr>
    </w:div>
    <w:div w:id="1509977656">
      <w:bodyDiv w:val="1"/>
      <w:marLeft w:val="0"/>
      <w:marRight w:val="0"/>
      <w:marTop w:val="0"/>
      <w:marBottom w:val="0"/>
      <w:divBdr>
        <w:top w:val="none" w:sz="0" w:space="0" w:color="auto"/>
        <w:left w:val="none" w:sz="0" w:space="0" w:color="auto"/>
        <w:bottom w:val="none" w:sz="0" w:space="0" w:color="auto"/>
        <w:right w:val="none" w:sz="0" w:space="0" w:color="auto"/>
      </w:divBdr>
    </w:div>
    <w:div w:id="1769810532">
      <w:bodyDiv w:val="1"/>
      <w:marLeft w:val="0"/>
      <w:marRight w:val="0"/>
      <w:marTop w:val="0"/>
      <w:marBottom w:val="0"/>
      <w:divBdr>
        <w:top w:val="none" w:sz="0" w:space="0" w:color="auto"/>
        <w:left w:val="none" w:sz="0" w:space="0" w:color="auto"/>
        <w:bottom w:val="none" w:sz="0" w:space="0" w:color="auto"/>
        <w:right w:val="none" w:sz="0" w:space="0" w:color="auto"/>
      </w:divBdr>
    </w:div>
    <w:div w:id="180843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ometra.ro" TargetMode="External"/><Relationship Id="rId2" Type="http://schemas.openxmlformats.org/officeDocument/2006/relationships/hyperlink" Target="mailto:info@sometra.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dc:description/>
  <cp:lastModifiedBy>Mihaela Suteu</cp:lastModifiedBy>
  <cp:revision>3</cp:revision>
  <cp:lastPrinted>2024-03-11T07:36:00Z</cp:lastPrinted>
  <dcterms:created xsi:type="dcterms:W3CDTF">2025-03-04T09:19:00Z</dcterms:created>
  <dcterms:modified xsi:type="dcterms:W3CDTF">2025-03-04T09:20:00Z</dcterms:modified>
</cp:coreProperties>
</file>